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5150 SC 5C V2</w:t>
      </w:r>
    </w:p>
    <w:p>
      <w:pPr/>
      <w:r>
        <w:rPr>
          <w:b w:val="1"/>
          <w:bCs w:val="1"/>
        </w:rPr>
        <w:t xml:space="preserve">5 Core (cablaggio passante a 5 fili)</w:t>
      </w:r>
    </w:p>
    <w:p/>
    <w:p>
      <w:pPr/>
      <w:r>
        <w:rPr/>
        <w:t xml:space="preserve">Dimensioni (lung. x largh. x alt.): 1500 x 87 x 58 mm;Con rilevatore di movimento: Sì;Garanzia del produttore: 5 anni;Variante: 5 Core (cablaggio passante a 5 fili);VPE1, EAN: 4007841082000;colore: grigio;Luogo di montaggio: Parete, soffitto;Montaggio: In superficie, Soffitto, Parete;Resistenza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m;Scalabilità elettronica: Sì;Flusso luminoso prodotto totale: 5940 lm;Efficienza totale del prodotto: 141,4 lm/W;Temperatura di colore: 4000 K;Lampadina sostituibile: LED non sostituibile;Funzioni: Comunicazione criptata, Funzione di gruppo vicino, Selezione libera del valore della luce in un gruppo di apparecchi, Tempo di dissolvenza regolabile quando si accende e si spegne, Connessione a sistemi di batterie centrali, Sensore di movimento, Sensore di luce, Luce di orientamento;Regolazione crepuscolare: 2 – 2000 lx;Regolazione del periodo di accensione: 5 sec – 60 min;Funzione luce di base: Sì;Funzione luce di base tempo: 1-60 min;Luce principale regolabile: 0 - 100 %;Collegamento in rete: Sì;Collegamento in rete via: Bluetooth Mesh;Durata del LED secondo IEC-62717 (L70): 100.000 h;Durata del LED secondo IEC-62717 (L80): 68.000 h;Durata dei LED secondo IES TM-21 (L70): &gt; 60.000 h;Durata del LED secondo IES TM-21 (L80): &gt; 60.000 h;Protezione con fusibile B10: 41;Protezione con fusibile B16: 65;Protezione con fusibile C10: 67;Protezione con fusibile C16: 108;Funzione luce di base in percentuale: 10 – 100 %;Potenza: 42 W;Sicurezza fotobiologica ai sensi della norma EN 62471: RG1;Corrente di accensione, massima: 14,8 A;Angolo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082000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5150 SC 5C V2 5 Core (cablaggio passante a 5 fili)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2026-01-22T01:09:25+01:00</dcterms:created>
  <dcterms:modified xsi:type="dcterms:W3CDTF">2026-01-22T01:09:25+01:00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